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FA878" w14:textId="77777777" w:rsidR="00152C1E" w:rsidRPr="00152C1E" w:rsidRDefault="00152C1E" w:rsidP="00152C1E">
      <w:bookmarkStart w:id="0" w:name="_Hlk166495014"/>
      <w:bookmarkStart w:id="1" w:name="_Hlk166494970"/>
      <w:r w:rsidRPr="00152C1E">
        <w:t>Carbon Reduction Plan Template</w:t>
      </w:r>
    </w:p>
    <w:p w14:paraId="546EFF4D" w14:textId="0D34F692" w:rsidR="00152C1E" w:rsidRPr="00152C1E" w:rsidRDefault="00152C1E" w:rsidP="00152C1E">
      <w:pPr>
        <w:rPr>
          <w:b/>
          <w:bCs/>
        </w:rPr>
      </w:pPr>
      <w:r w:rsidRPr="00152C1E">
        <w:t>Supplier name:</w:t>
      </w:r>
      <w:r w:rsidR="00693323">
        <w:t xml:space="preserve"> </w:t>
      </w:r>
      <w:r w:rsidR="00693323">
        <w:rPr>
          <w:b/>
          <w:bCs/>
        </w:rPr>
        <w:t>Warwick SASCo Ltd.</w:t>
      </w:r>
      <w:r w:rsidR="00693323">
        <w:rPr>
          <w:b/>
          <w:bCs/>
        </w:rPr>
        <w:tab/>
      </w:r>
      <w:r w:rsidR="00693323">
        <w:rPr>
          <w:b/>
          <w:bCs/>
        </w:rPr>
        <w:tab/>
      </w:r>
      <w:r w:rsidR="00693323">
        <w:rPr>
          <w:b/>
          <w:bCs/>
        </w:rPr>
        <w:tab/>
      </w:r>
      <w:r w:rsidR="00693323">
        <w:rPr>
          <w:b/>
          <w:bCs/>
        </w:rPr>
        <w:tab/>
      </w:r>
      <w:r w:rsidR="00693323">
        <w:rPr>
          <w:b/>
          <w:bCs/>
        </w:rPr>
        <w:tab/>
      </w:r>
      <w:r w:rsidR="00693323">
        <w:rPr>
          <w:b/>
          <w:bCs/>
        </w:rPr>
        <w:tab/>
        <w:t xml:space="preserve">Doc Ref </w:t>
      </w:r>
      <w:r w:rsidR="00AF674E">
        <w:rPr>
          <w:b/>
          <w:bCs/>
        </w:rPr>
        <w:t>1</w:t>
      </w:r>
      <w:r w:rsidR="00693323">
        <w:rPr>
          <w:b/>
          <w:bCs/>
        </w:rPr>
        <w:t>1.</w:t>
      </w:r>
      <w:r w:rsidR="00AF674E">
        <w:rPr>
          <w:b/>
          <w:bCs/>
        </w:rPr>
        <w:t>1</w:t>
      </w:r>
      <w:r w:rsidR="00693323">
        <w:rPr>
          <w:b/>
          <w:bCs/>
        </w:rPr>
        <w:t>CRP</w:t>
      </w:r>
    </w:p>
    <w:p w14:paraId="4145029E" w14:textId="57A2029E" w:rsidR="00152C1E" w:rsidRDefault="00152C1E" w:rsidP="00152C1E">
      <w:r w:rsidRPr="00152C1E">
        <w:t>Publication date:</w:t>
      </w:r>
      <w:r w:rsidR="00176BB3">
        <w:t xml:space="preserve"> 2 October 202</w:t>
      </w:r>
      <w:r w:rsidR="00945C82">
        <w:t>3</w:t>
      </w:r>
    </w:p>
    <w:p w14:paraId="226EAB40" w14:textId="73D0D31C" w:rsidR="00FC584C" w:rsidRPr="00152C1E" w:rsidRDefault="00FC584C" w:rsidP="00152C1E">
      <w:r>
        <w:t>Revision Date 30 January 2025</w:t>
      </w:r>
    </w:p>
    <w:p w14:paraId="0F82327B" w14:textId="77777777" w:rsidR="00152C1E" w:rsidRPr="00152C1E" w:rsidRDefault="00152C1E" w:rsidP="00152C1E">
      <w:bookmarkStart w:id="2" w:name="_heading=h.30j0zll"/>
      <w:bookmarkEnd w:id="2"/>
      <w:r w:rsidRPr="00152C1E">
        <w:rPr>
          <w:b/>
        </w:rPr>
        <w:t>Commitment to achieving Net Zero</w:t>
      </w:r>
    </w:p>
    <w:p w14:paraId="10D74C50" w14:textId="3F86B25F" w:rsidR="00152C1E" w:rsidRPr="00152C1E" w:rsidRDefault="00693323" w:rsidP="00152C1E">
      <w:pPr>
        <w:rPr>
          <w:bCs/>
        </w:rPr>
      </w:pPr>
      <w:bookmarkStart w:id="3" w:name="_heading=h.1fob9te"/>
      <w:bookmarkEnd w:id="3"/>
      <w:r w:rsidRPr="00693323">
        <w:rPr>
          <w:bCs/>
        </w:rPr>
        <w:t xml:space="preserve">Warwick SASCo Ltd </w:t>
      </w:r>
      <w:r w:rsidR="00152C1E" w:rsidRPr="00152C1E">
        <w:rPr>
          <w:bCs/>
        </w:rPr>
        <w:t>is committed to achieving Net Zero emissions by 20</w:t>
      </w:r>
      <w:r w:rsidR="00F31273">
        <w:rPr>
          <w:bCs/>
        </w:rPr>
        <w:t>40.</w:t>
      </w:r>
    </w:p>
    <w:p w14:paraId="7E9FAA0E" w14:textId="50BD50AF" w:rsidR="00152C1E" w:rsidRPr="00152C1E" w:rsidRDefault="00152C1E" w:rsidP="00152C1E">
      <w:pPr>
        <w:rPr>
          <w:strike/>
        </w:rPr>
      </w:pPr>
      <w:bookmarkStart w:id="4" w:name="_heading=h.3znysh7"/>
      <w:bookmarkEnd w:id="4"/>
      <w:r w:rsidRPr="00152C1E">
        <w:rPr>
          <w:b/>
        </w:rPr>
        <w:t>Baseline Emissions Footprint</w:t>
      </w:r>
      <w:r w:rsidRPr="00152C1E">
        <w:rPr>
          <w:strike/>
        </w:rPr>
        <w:t xml:space="preserve"> </w:t>
      </w:r>
    </w:p>
    <w:tbl>
      <w:tblPr>
        <w:tblW w:w="950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"/>
        <w:gridCol w:w="2100"/>
        <w:gridCol w:w="30"/>
        <w:gridCol w:w="7320"/>
        <w:gridCol w:w="15"/>
        <w:gridCol w:w="25"/>
      </w:tblGrid>
      <w:tr w:rsidR="00152C1E" w:rsidRPr="00152C1E" w14:paraId="4EBE1C7D" w14:textId="77777777" w:rsidTr="00FC584C">
        <w:trPr>
          <w:gridBefore w:val="1"/>
          <w:gridAfter w:val="2"/>
          <w:wBefore w:w="18" w:type="dxa"/>
          <w:wAfter w:w="40" w:type="dxa"/>
          <w:trHeight w:val="455"/>
        </w:trPr>
        <w:tc>
          <w:tcPr>
            <w:tcW w:w="9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D884" w14:textId="50FF49BA" w:rsidR="00152C1E" w:rsidRPr="00152C1E" w:rsidRDefault="00152C1E" w:rsidP="00152C1E">
            <w:r w:rsidRPr="00152C1E">
              <w:rPr>
                <w:b/>
              </w:rPr>
              <w:t>Baseline Year: 20</w:t>
            </w:r>
            <w:r w:rsidR="000C585B">
              <w:rPr>
                <w:b/>
              </w:rPr>
              <w:t>22</w:t>
            </w:r>
          </w:p>
        </w:tc>
      </w:tr>
      <w:tr w:rsidR="00152C1E" w:rsidRPr="00152C1E" w14:paraId="397D9053" w14:textId="77777777" w:rsidTr="00FC584C">
        <w:trPr>
          <w:gridBefore w:val="1"/>
          <w:gridAfter w:val="2"/>
          <w:wBefore w:w="18" w:type="dxa"/>
          <w:wAfter w:w="40" w:type="dxa"/>
          <w:trHeight w:val="455"/>
        </w:trPr>
        <w:tc>
          <w:tcPr>
            <w:tcW w:w="9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7CDC2" w14:textId="77777777" w:rsidR="00152C1E" w:rsidRPr="00152C1E" w:rsidRDefault="00152C1E" w:rsidP="00152C1E">
            <w:r w:rsidRPr="00152C1E">
              <w:rPr>
                <w:b/>
              </w:rPr>
              <w:t>Additional Details relating to the Baseline Emissions calculations.</w:t>
            </w:r>
          </w:p>
        </w:tc>
      </w:tr>
      <w:tr w:rsidR="00152C1E" w:rsidRPr="00152C1E" w14:paraId="76D5F887" w14:textId="77777777" w:rsidTr="00FC584C">
        <w:trPr>
          <w:gridBefore w:val="1"/>
          <w:gridAfter w:val="2"/>
          <w:wBefore w:w="18" w:type="dxa"/>
          <w:wAfter w:w="40" w:type="dxa"/>
          <w:trHeight w:val="455"/>
        </w:trPr>
        <w:tc>
          <w:tcPr>
            <w:tcW w:w="945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6D2E8" w14:textId="7C8F4E07" w:rsidR="00152C1E" w:rsidRPr="00152C1E" w:rsidRDefault="00152C1E" w:rsidP="00152C1E">
            <w:r w:rsidRPr="00152C1E">
              <w:rPr>
                <w:b/>
              </w:rPr>
              <w:t>Baseline year emissions:</w:t>
            </w:r>
            <w:r w:rsidR="00E14721">
              <w:rPr>
                <w:b/>
              </w:rPr>
              <w:t xml:space="preserve"> 202</w:t>
            </w:r>
            <w:r w:rsidR="0019684E">
              <w:rPr>
                <w:b/>
              </w:rPr>
              <w:t>2</w:t>
            </w:r>
          </w:p>
        </w:tc>
      </w:tr>
      <w:tr w:rsidR="00152C1E" w:rsidRPr="00152C1E" w14:paraId="5D8B787B" w14:textId="77777777" w:rsidTr="00FC584C">
        <w:trPr>
          <w:gridBefore w:val="1"/>
          <w:gridAfter w:val="2"/>
          <w:wBefore w:w="18" w:type="dxa"/>
          <w:wAfter w:w="40" w:type="dxa"/>
          <w:trHeight w:val="740"/>
        </w:trPr>
        <w:tc>
          <w:tcPr>
            <w:tcW w:w="21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429D" w14:textId="77777777" w:rsidR="00152C1E" w:rsidRPr="00152C1E" w:rsidRDefault="00152C1E" w:rsidP="00152C1E">
            <w:r w:rsidRPr="00152C1E">
              <w:rPr>
                <w:b/>
              </w:rPr>
              <w:t>EMISSIONS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4658" w14:textId="77777777" w:rsidR="00152C1E" w:rsidRPr="00152C1E" w:rsidRDefault="00152C1E" w:rsidP="00152C1E">
            <w:r w:rsidRPr="00152C1E">
              <w:rPr>
                <w:b/>
              </w:rPr>
              <w:t>TOTAL (tCO</w:t>
            </w:r>
            <w:r w:rsidRPr="00152C1E">
              <w:rPr>
                <w:b/>
                <w:vertAlign w:val="subscript"/>
              </w:rPr>
              <w:t>2</w:t>
            </w:r>
            <w:r w:rsidRPr="00152C1E">
              <w:rPr>
                <w:b/>
              </w:rPr>
              <w:t>e)</w:t>
            </w:r>
          </w:p>
        </w:tc>
      </w:tr>
      <w:tr w:rsidR="00152C1E" w:rsidRPr="00152C1E" w14:paraId="30CC1C78" w14:textId="77777777" w:rsidTr="00FC584C">
        <w:trPr>
          <w:gridBefore w:val="1"/>
          <w:gridAfter w:val="2"/>
          <w:wBefore w:w="18" w:type="dxa"/>
          <w:wAfter w:w="40" w:type="dxa"/>
          <w:trHeight w:val="455"/>
        </w:trPr>
        <w:tc>
          <w:tcPr>
            <w:tcW w:w="21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9F0B5" w14:textId="77777777" w:rsidR="00152C1E" w:rsidRPr="00152C1E" w:rsidRDefault="00152C1E" w:rsidP="00152C1E">
            <w:r w:rsidRPr="00152C1E">
              <w:rPr>
                <w:b/>
              </w:rPr>
              <w:t>Scope 1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42A6C" w14:textId="2C55F956" w:rsidR="00152C1E" w:rsidRPr="00152C1E" w:rsidRDefault="00E14721" w:rsidP="00152C1E">
            <w:r>
              <w:rPr>
                <w:b/>
              </w:rPr>
              <w:t>21</w:t>
            </w:r>
            <w:r w:rsidR="00ED7332">
              <w:rPr>
                <w:b/>
              </w:rPr>
              <w:t>.</w:t>
            </w:r>
            <w:r>
              <w:rPr>
                <w:b/>
              </w:rPr>
              <w:t>8</w:t>
            </w:r>
            <w:r w:rsidR="00ED7332">
              <w:rPr>
                <w:b/>
              </w:rPr>
              <w:t>6</w:t>
            </w:r>
          </w:p>
        </w:tc>
      </w:tr>
      <w:tr w:rsidR="00152C1E" w:rsidRPr="00152C1E" w14:paraId="260FACDA" w14:textId="77777777" w:rsidTr="00FC584C">
        <w:trPr>
          <w:gridBefore w:val="1"/>
          <w:gridAfter w:val="2"/>
          <w:wBefore w:w="18" w:type="dxa"/>
          <w:wAfter w:w="40" w:type="dxa"/>
          <w:trHeight w:val="455"/>
        </w:trPr>
        <w:tc>
          <w:tcPr>
            <w:tcW w:w="213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FA04" w14:textId="77777777" w:rsidR="00152C1E" w:rsidRPr="00152C1E" w:rsidRDefault="00152C1E" w:rsidP="00152C1E">
            <w:r w:rsidRPr="00152C1E">
              <w:rPr>
                <w:b/>
              </w:rPr>
              <w:t>Scope 2</w:t>
            </w:r>
          </w:p>
        </w:tc>
        <w:tc>
          <w:tcPr>
            <w:tcW w:w="7320" w:type="dxa"/>
            <w:tcBorders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3DCC" w14:textId="69F9B61E" w:rsidR="00152C1E" w:rsidRPr="00152C1E" w:rsidRDefault="00945C82" w:rsidP="00152C1E">
            <w:r>
              <w:rPr>
                <w:b/>
              </w:rPr>
              <w:t>2.69</w:t>
            </w:r>
          </w:p>
        </w:tc>
      </w:tr>
      <w:tr w:rsidR="00152C1E" w:rsidRPr="00152C1E" w14:paraId="20DFAD34" w14:textId="77777777" w:rsidTr="00FC584C">
        <w:trPr>
          <w:gridBefore w:val="1"/>
          <w:gridAfter w:val="2"/>
          <w:wBefore w:w="18" w:type="dxa"/>
          <w:wAfter w:w="40" w:type="dxa"/>
          <w:trHeight w:val="585"/>
        </w:trPr>
        <w:tc>
          <w:tcPr>
            <w:tcW w:w="2130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6F6D8" w14:textId="77777777" w:rsidR="00152C1E" w:rsidRPr="00152C1E" w:rsidRDefault="00152C1E" w:rsidP="00152C1E">
            <w:r w:rsidRPr="00152C1E">
              <w:rPr>
                <w:b/>
              </w:rPr>
              <w:t>Scope 3</w:t>
            </w:r>
          </w:p>
          <w:p w14:paraId="03189989" w14:textId="77777777" w:rsidR="00152C1E" w:rsidRPr="00152C1E" w:rsidRDefault="00152C1E" w:rsidP="00152C1E">
            <w:r w:rsidRPr="00152C1E">
              <w:rPr>
                <w:b/>
              </w:rPr>
              <w:t>(Included Sources)</w:t>
            </w:r>
          </w:p>
        </w:tc>
        <w:tc>
          <w:tcPr>
            <w:tcW w:w="732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C0CF" w14:textId="2F7A4F8B" w:rsidR="00152C1E" w:rsidRPr="00152C1E" w:rsidRDefault="008E11FA" w:rsidP="00152C1E">
            <w:r>
              <w:rPr>
                <w:b/>
              </w:rPr>
              <w:t>N/A</w:t>
            </w:r>
          </w:p>
        </w:tc>
      </w:tr>
      <w:tr w:rsidR="00152C1E" w:rsidRPr="00152C1E" w14:paraId="69D1598D" w14:textId="77777777" w:rsidTr="00FC584C">
        <w:trPr>
          <w:gridBefore w:val="1"/>
          <w:gridAfter w:val="2"/>
          <w:wBefore w:w="18" w:type="dxa"/>
          <w:wAfter w:w="40" w:type="dxa"/>
          <w:trHeight w:val="585"/>
        </w:trPr>
        <w:tc>
          <w:tcPr>
            <w:tcW w:w="213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72DE" w14:textId="77777777" w:rsidR="00152C1E" w:rsidRPr="00152C1E" w:rsidRDefault="00152C1E" w:rsidP="00152C1E">
            <w:r w:rsidRPr="00152C1E">
              <w:rPr>
                <w:b/>
              </w:rPr>
              <w:t>Total Emissions</w:t>
            </w:r>
          </w:p>
        </w:tc>
        <w:tc>
          <w:tcPr>
            <w:tcW w:w="7320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735D" w14:textId="70B45211" w:rsidR="00152C1E" w:rsidRPr="00152C1E" w:rsidRDefault="00945C82" w:rsidP="00152C1E">
            <w:r>
              <w:rPr>
                <w:b/>
              </w:rPr>
              <w:t>24.55</w:t>
            </w:r>
          </w:p>
        </w:tc>
      </w:tr>
      <w:tr w:rsidR="00152C1E" w:rsidRPr="00152C1E" w14:paraId="49BA40E5" w14:textId="77777777" w:rsidTr="00FC584C">
        <w:trPr>
          <w:gridBefore w:val="1"/>
          <w:gridAfter w:val="1"/>
          <w:wBefore w:w="18" w:type="dxa"/>
          <w:wAfter w:w="25" w:type="dxa"/>
          <w:trHeight w:val="122"/>
        </w:trPr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691D" w14:textId="79CF6F12" w:rsidR="00152C1E" w:rsidRPr="00152C1E" w:rsidRDefault="00152C1E" w:rsidP="00152C1E">
            <w:r w:rsidRPr="00152C1E">
              <w:rPr>
                <w:b/>
              </w:rPr>
              <w:t xml:space="preserve">Current Emissions </w:t>
            </w:r>
            <w:r w:rsidR="00EC2DEB" w:rsidRPr="00152C1E">
              <w:rPr>
                <w:b/>
              </w:rPr>
              <w:t>Reporting Year</w:t>
            </w:r>
            <w:r w:rsidRPr="00152C1E">
              <w:rPr>
                <w:b/>
              </w:rPr>
              <w:t>: 20</w:t>
            </w:r>
            <w:r w:rsidR="00CB42E1">
              <w:rPr>
                <w:b/>
              </w:rPr>
              <w:t>23</w:t>
            </w:r>
          </w:p>
        </w:tc>
      </w:tr>
      <w:tr w:rsidR="00152C1E" w:rsidRPr="00152C1E" w14:paraId="01C5F3A6" w14:textId="77777777" w:rsidTr="00FC584C">
        <w:trPr>
          <w:gridBefore w:val="1"/>
          <w:gridAfter w:val="1"/>
          <w:wBefore w:w="18" w:type="dxa"/>
          <w:wAfter w:w="25" w:type="dxa"/>
          <w:trHeight w:val="74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87659" w14:textId="77777777" w:rsidR="00152C1E" w:rsidRPr="00152C1E" w:rsidRDefault="00152C1E" w:rsidP="00152C1E">
            <w:r w:rsidRPr="00152C1E">
              <w:rPr>
                <w:b/>
              </w:rPr>
              <w:t>EMISSIONS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0F00D" w14:textId="77777777" w:rsidR="00152C1E" w:rsidRPr="00152C1E" w:rsidRDefault="00152C1E" w:rsidP="00152C1E">
            <w:r w:rsidRPr="00152C1E">
              <w:rPr>
                <w:b/>
              </w:rPr>
              <w:t>TOTAL (tCO</w:t>
            </w:r>
            <w:r w:rsidRPr="00152C1E">
              <w:rPr>
                <w:b/>
                <w:vertAlign w:val="subscript"/>
              </w:rPr>
              <w:t>2</w:t>
            </w:r>
            <w:r w:rsidRPr="00152C1E">
              <w:rPr>
                <w:b/>
              </w:rPr>
              <w:t>e)</w:t>
            </w:r>
          </w:p>
        </w:tc>
      </w:tr>
      <w:tr w:rsidR="00152C1E" w:rsidRPr="00152C1E" w14:paraId="6E927949" w14:textId="77777777" w:rsidTr="00FC584C">
        <w:trPr>
          <w:gridBefore w:val="1"/>
          <w:gridAfter w:val="1"/>
          <w:wBefore w:w="18" w:type="dxa"/>
          <w:wAfter w:w="25" w:type="dxa"/>
          <w:trHeight w:val="4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E160" w14:textId="77777777" w:rsidR="00152C1E" w:rsidRPr="00152C1E" w:rsidRDefault="00152C1E" w:rsidP="00152C1E">
            <w:r w:rsidRPr="00152C1E">
              <w:rPr>
                <w:b/>
              </w:rPr>
              <w:t>Scope 1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F0F3" w14:textId="1A0C58A6" w:rsidR="00152C1E" w:rsidRPr="00945C82" w:rsidRDefault="00945C82" w:rsidP="00152C1E">
            <w:pPr>
              <w:rPr>
                <w:b/>
                <w:bCs/>
              </w:rPr>
            </w:pPr>
            <w:r w:rsidRPr="00945C82">
              <w:rPr>
                <w:b/>
                <w:bCs/>
              </w:rPr>
              <w:t>16.20</w:t>
            </w:r>
          </w:p>
        </w:tc>
      </w:tr>
      <w:tr w:rsidR="00152C1E" w:rsidRPr="00152C1E" w14:paraId="6A0F6E0C" w14:textId="77777777" w:rsidTr="00FC584C">
        <w:trPr>
          <w:gridBefore w:val="1"/>
          <w:gridAfter w:val="1"/>
          <w:wBefore w:w="18" w:type="dxa"/>
          <w:wAfter w:w="25" w:type="dxa"/>
          <w:trHeight w:val="45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CBA7" w14:textId="77777777" w:rsidR="00152C1E" w:rsidRPr="00152C1E" w:rsidRDefault="00152C1E" w:rsidP="00152C1E">
            <w:r w:rsidRPr="00152C1E">
              <w:rPr>
                <w:b/>
              </w:rPr>
              <w:t>Scope 2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868F6" w14:textId="66FD2187" w:rsidR="00152C1E" w:rsidRPr="00945C82" w:rsidRDefault="00945C82" w:rsidP="00152C1E">
            <w:pPr>
              <w:rPr>
                <w:b/>
                <w:bCs/>
              </w:rPr>
            </w:pPr>
            <w:r w:rsidRPr="00945C82">
              <w:rPr>
                <w:b/>
                <w:bCs/>
              </w:rPr>
              <w:t>2.83</w:t>
            </w:r>
          </w:p>
        </w:tc>
      </w:tr>
      <w:tr w:rsidR="00152C1E" w:rsidRPr="00152C1E" w14:paraId="7E68D477" w14:textId="77777777" w:rsidTr="00FC584C">
        <w:trPr>
          <w:gridBefore w:val="1"/>
          <w:gridAfter w:val="1"/>
          <w:wBefore w:w="18" w:type="dxa"/>
          <w:wAfter w:w="25" w:type="dxa"/>
          <w:trHeight w:val="719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A38A" w14:textId="77777777" w:rsidR="00152C1E" w:rsidRPr="00152C1E" w:rsidRDefault="00152C1E" w:rsidP="00152C1E">
            <w:r w:rsidRPr="00152C1E">
              <w:rPr>
                <w:b/>
              </w:rPr>
              <w:t>Scope 3</w:t>
            </w:r>
          </w:p>
          <w:p w14:paraId="5977D586" w14:textId="77777777" w:rsidR="00152C1E" w:rsidRPr="00152C1E" w:rsidRDefault="00152C1E" w:rsidP="00152C1E">
            <w:r w:rsidRPr="00152C1E">
              <w:rPr>
                <w:b/>
              </w:rPr>
              <w:t>(Included Sources)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6133" w14:textId="1D1610EE" w:rsidR="00152C1E" w:rsidRPr="00945C82" w:rsidRDefault="00FC584C" w:rsidP="00152C1E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  <w:tr w:rsidR="00152C1E" w:rsidRPr="00152C1E" w14:paraId="47F4283C" w14:textId="77777777" w:rsidTr="00FC584C">
        <w:trPr>
          <w:gridBefore w:val="1"/>
          <w:gridAfter w:val="1"/>
          <w:wBefore w:w="18" w:type="dxa"/>
          <w:wAfter w:w="25" w:type="dxa"/>
          <w:trHeight w:val="58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CB80" w14:textId="77777777" w:rsidR="00152C1E" w:rsidRPr="00152C1E" w:rsidRDefault="00152C1E" w:rsidP="00152C1E">
            <w:r w:rsidRPr="00152C1E">
              <w:rPr>
                <w:b/>
              </w:rPr>
              <w:lastRenderedPageBreak/>
              <w:t>Total Emissions</w:t>
            </w:r>
          </w:p>
        </w:tc>
        <w:tc>
          <w:tcPr>
            <w:tcW w:w="7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A120" w14:textId="58708E67" w:rsidR="00152C1E" w:rsidRPr="00945C82" w:rsidRDefault="00945C82" w:rsidP="00152C1E">
            <w:pPr>
              <w:rPr>
                <w:b/>
                <w:bCs/>
              </w:rPr>
            </w:pPr>
            <w:r w:rsidRPr="00945C82">
              <w:rPr>
                <w:b/>
                <w:bCs/>
              </w:rPr>
              <w:t>19.03</w:t>
            </w:r>
          </w:p>
        </w:tc>
      </w:tr>
      <w:tr w:rsidR="00FC584C" w:rsidRPr="00152C1E" w14:paraId="5F00EDED" w14:textId="77777777" w:rsidTr="00FC584C">
        <w:trPr>
          <w:gridAfter w:val="1"/>
          <w:wAfter w:w="25" w:type="dxa"/>
          <w:trHeight w:val="122"/>
        </w:trPr>
        <w:tc>
          <w:tcPr>
            <w:tcW w:w="94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9F16" w14:textId="3C9C0DD9" w:rsidR="00FC584C" w:rsidRPr="00152C1E" w:rsidRDefault="00FC584C" w:rsidP="0019142D">
            <w:bookmarkStart w:id="5" w:name="_heading=h.2et92p0"/>
            <w:bookmarkEnd w:id="5"/>
            <w:r w:rsidRPr="00152C1E">
              <w:rPr>
                <w:b/>
              </w:rPr>
              <w:t>Current Emissions Reporting Year: 20</w:t>
            </w:r>
            <w:r>
              <w:rPr>
                <w:b/>
              </w:rPr>
              <w:t>24</w:t>
            </w:r>
          </w:p>
        </w:tc>
      </w:tr>
      <w:tr w:rsidR="00FC584C" w:rsidRPr="00152C1E" w14:paraId="440FBDAD" w14:textId="77777777" w:rsidTr="00FC584C">
        <w:trPr>
          <w:trHeight w:val="740"/>
        </w:trPr>
        <w:tc>
          <w:tcPr>
            <w:tcW w:w="9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7C42" w14:textId="77777777" w:rsidR="00FC584C" w:rsidRPr="00152C1E" w:rsidRDefault="00FC584C" w:rsidP="0019142D">
            <w:r w:rsidRPr="00152C1E">
              <w:rPr>
                <w:b/>
              </w:rPr>
              <w:t>TOTAL (tCO</w:t>
            </w:r>
            <w:r w:rsidRPr="00152C1E">
              <w:rPr>
                <w:b/>
                <w:vertAlign w:val="subscript"/>
              </w:rPr>
              <w:t>2</w:t>
            </w:r>
            <w:r w:rsidRPr="00152C1E">
              <w:rPr>
                <w:b/>
              </w:rPr>
              <w:t>e)</w:t>
            </w:r>
          </w:p>
        </w:tc>
      </w:tr>
      <w:tr w:rsidR="00FC584C" w:rsidRPr="00945C82" w14:paraId="4D994CAF" w14:textId="77777777" w:rsidTr="00FC584C">
        <w:trPr>
          <w:trHeight w:val="455"/>
        </w:trPr>
        <w:tc>
          <w:tcPr>
            <w:tcW w:w="9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C7D8D" w14:textId="77777777" w:rsidR="00FC584C" w:rsidRPr="00945C82" w:rsidRDefault="00FC584C" w:rsidP="0019142D">
            <w:pPr>
              <w:rPr>
                <w:b/>
                <w:bCs/>
              </w:rPr>
            </w:pPr>
            <w:r w:rsidRPr="00945C82">
              <w:rPr>
                <w:b/>
                <w:bCs/>
              </w:rPr>
              <w:t>16.20</w:t>
            </w:r>
          </w:p>
        </w:tc>
      </w:tr>
      <w:tr w:rsidR="00FC584C" w:rsidRPr="00945C82" w14:paraId="1442DF8D" w14:textId="77777777" w:rsidTr="00FC584C">
        <w:trPr>
          <w:trHeight w:val="455"/>
        </w:trPr>
        <w:tc>
          <w:tcPr>
            <w:tcW w:w="9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B3D6" w14:textId="77777777" w:rsidR="00FC584C" w:rsidRPr="00945C82" w:rsidRDefault="00FC584C" w:rsidP="0019142D">
            <w:pPr>
              <w:rPr>
                <w:b/>
                <w:bCs/>
              </w:rPr>
            </w:pPr>
            <w:r w:rsidRPr="00945C82">
              <w:rPr>
                <w:b/>
                <w:bCs/>
              </w:rPr>
              <w:t>2.83</w:t>
            </w:r>
          </w:p>
        </w:tc>
      </w:tr>
      <w:tr w:rsidR="00FC584C" w:rsidRPr="00945C82" w14:paraId="27CAF4A3" w14:textId="77777777" w:rsidTr="00FC584C">
        <w:trPr>
          <w:trHeight w:val="719"/>
        </w:trPr>
        <w:tc>
          <w:tcPr>
            <w:tcW w:w="95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6F0A6" w14:textId="06B9A358" w:rsidR="00FC584C" w:rsidRPr="00945C82" w:rsidRDefault="00FC584C" w:rsidP="0019142D">
            <w:pPr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</w:tr>
    </w:tbl>
    <w:p w14:paraId="08E1D3BE" w14:textId="77777777" w:rsidR="00FC584C" w:rsidRDefault="00FC584C" w:rsidP="00152C1E">
      <w:pPr>
        <w:rPr>
          <w:b/>
        </w:rPr>
      </w:pPr>
    </w:p>
    <w:p w14:paraId="359B7CB3" w14:textId="77777777" w:rsidR="00FC584C" w:rsidRDefault="00FC584C" w:rsidP="00152C1E">
      <w:pPr>
        <w:rPr>
          <w:b/>
        </w:rPr>
      </w:pPr>
    </w:p>
    <w:p w14:paraId="3DA6BD86" w14:textId="77777777" w:rsidR="00FC584C" w:rsidRDefault="00FC584C" w:rsidP="00152C1E">
      <w:pPr>
        <w:rPr>
          <w:b/>
        </w:rPr>
      </w:pPr>
    </w:p>
    <w:p w14:paraId="7CB856F1" w14:textId="290B9D85" w:rsidR="00152C1E" w:rsidRPr="00152C1E" w:rsidRDefault="00152C1E" w:rsidP="00152C1E">
      <w:r w:rsidRPr="00152C1E">
        <w:rPr>
          <w:b/>
        </w:rPr>
        <w:t>Emissions reduction targets</w:t>
      </w:r>
    </w:p>
    <w:p w14:paraId="72E7FFAF" w14:textId="77777777" w:rsidR="00152C1E" w:rsidRPr="00152C1E" w:rsidRDefault="00152C1E" w:rsidP="00152C1E">
      <w:bookmarkStart w:id="6" w:name="_heading=h.tyjcwt"/>
      <w:bookmarkStart w:id="7" w:name="_heading=h.3dy6vkm"/>
      <w:bookmarkEnd w:id="6"/>
      <w:bookmarkEnd w:id="7"/>
      <w:r w:rsidRPr="00152C1E">
        <w:rPr>
          <w:i/>
        </w:rPr>
        <w:t>If existing emissions reduction targets are in place for your organisation, please provide details below.</w:t>
      </w:r>
    </w:p>
    <w:p w14:paraId="0AE034E7" w14:textId="77777777" w:rsidR="00152C1E" w:rsidRPr="00152C1E" w:rsidRDefault="00152C1E" w:rsidP="00152C1E">
      <w:bookmarkStart w:id="8" w:name="_heading=h.1t3h5sf"/>
      <w:bookmarkStart w:id="9" w:name="_heading=h.4d34og8"/>
      <w:bookmarkEnd w:id="8"/>
      <w:bookmarkEnd w:id="9"/>
      <w:proofErr w:type="gramStart"/>
      <w:r w:rsidRPr="00152C1E">
        <w:t>In order to</w:t>
      </w:r>
      <w:proofErr w:type="gramEnd"/>
      <w:r w:rsidRPr="00152C1E">
        <w:t xml:space="preserve"> continue our progress to achieving Net Zero, we have adopted the following carbon reduction targets.</w:t>
      </w:r>
    </w:p>
    <w:p w14:paraId="565A41E8" w14:textId="3C6BFD07" w:rsidR="00152C1E" w:rsidRPr="00152C1E" w:rsidRDefault="00152C1E" w:rsidP="00152C1E">
      <w:bookmarkStart w:id="10" w:name="_heading=h.2s8eyo1"/>
      <w:bookmarkEnd w:id="10"/>
      <w:r w:rsidRPr="00152C1E">
        <w:t xml:space="preserve">We project that carbon emissions will decrease over the next five years to </w:t>
      </w:r>
      <w:r w:rsidR="0019684E">
        <w:t>35</w:t>
      </w:r>
      <w:r w:rsidRPr="00152C1E">
        <w:t xml:space="preserve"> tCO</w:t>
      </w:r>
      <w:r w:rsidRPr="00152C1E">
        <w:rPr>
          <w:vertAlign w:val="subscript"/>
        </w:rPr>
        <w:t>2</w:t>
      </w:r>
      <w:r w:rsidRPr="00152C1E">
        <w:t>e by 20</w:t>
      </w:r>
      <w:r w:rsidR="0019684E">
        <w:t>28</w:t>
      </w:r>
      <w:r w:rsidRPr="00152C1E">
        <w:t xml:space="preserve">. This is a reduction of </w:t>
      </w:r>
      <w:r w:rsidR="0019684E">
        <w:t>22</w:t>
      </w:r>
      <w:r w:rsidRPr="00152C1E">
        <w:t>%</w:t>
      </w:r>
    </w:p>
    <w:p w14:paraId="497150EA" w14:textId="77777777" w:rsidR="00152C1E" w:rsidRPr="00152C1E" w:rsidRDefault="00152C1E" w:rsidP="00152C1E">
      <w:bookmarkStart w:id="11" w:name="_heading=h.17dp8vu"/>
      <w:bookmarkStart w:id="12" w:name="_heading=h.3rdcrjn"/>
      <w:bookmarkStart w:id="13" w:name="_heading=h.26in1rg"/>
      <w:bookmarkStart w:id="14" w:name="_heading=h.lnxbz9"/>
      <w:bookmarkStart w:id="15" w:name="_heading=h.35nkun2"/>
      <w:bookmarkStart w:id="16" w:name="_heading=h.1ksv4uv"/>
      <w:bookmarkStart w:id="17" w:name="_heading=h.44sinio"/>
      <w:bookmarkStart w:id="18" w:name="_heading=h.2jxsxqh"/>
      <w:bookmarkStart w:id="19" w:name="_heading=h.z337ya"/>
      <w:bookmarkStart w:id="20" w:name="_heading=h.3j2qqm3"/>
      <w:bookmarkStart w:id="21" w:name="_heading=h.1y810tw"/>
      <w:bookmarkStart w:id="22" w:name="_heading=h.4i7ojhp"/>
      <w:bookmarkStart w:id="23" w:name="_heading=h.2xcytpi"/>
      <w:bookmarkStart w:id="24" w:name="_heading=h.1ci93xb"/>
      <w:bookmarkStart w:id="25" w:name="_heading=h.3whwml4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152C1E">
        <w:t>Progress against these targets can be seen in the graph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2361" w14:paraId="5A06BEAD" w14:textId="77777777" w:rsidTr="00B62361">
        <w:tc>
          <w:tcPr>
            <w:tcW w:w="9016" w:type="dxa"/>
          </w:tcPr>
          <w:p w14:paraId="653915D0" w14:textId="765367F5" w:rsidR="00B62361" w:rsidRDefault="00152C1E" w:rsidP="00152C1E">
            <w:pPr>
              <w:rPr>
                <w:b/>
              </w:rPr>
            </w:pPr>
            <w:bookmarkStart w:id="26" w:name="_heading=h.2bn6wsx"/>
            <w:bookmarkEnd w:id="26"/>
            <w:r w:rsidRPr="00152C1E">
              <w:t xml:space="preserve">  </w:t>
            </w:r>
            <w:bookmarkStart w:id="27" w:name="_heading=h.qsh70q"/>
            <w:bookmarkEnd w:id="27"/>
            <w:r w:rsidR="00EC2DEB">
              <w:rPr>
                <w:noProof/>
              </w:rPr>
              <w:drawing>
                <wp:inline distT="0" distB="0" distL="0" distR="0" wp14:anchorId="78C80B0D" wp14:editId="6B701E97">
                  <wp:extent cx="6329680" cy="1790700"/>
                  <wp:effectExtent l="0" t="0" r="13970" b="0"/>
                  <wp:docPr id="15018139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7DAA605-ED82-397D-7179-37DA320C6FE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14:paraId="69628C52" w14:textId="3AAC762B" w:rsidR="00B62361" w:rsidRDefault="00B62361" w:rsidP="00152C1E">
      <w:pPr>
        <w:rPr>
          <w:b/>
        </w:rPr>
      </w:pPr>
    </w:p>
    <w:p w14:paraId="1B841B0E" w14:textId="75D32E94" w:rsidR="00152C1E" w:rsidRPr="00152C1E" w:rsidRDefault="00152C1E" w:rsidP="00152C1E">
      <w:r w:rsidRPr="00152C1E">
        <w:rPr>
          <w:b/>
        </w:rPr>
        <w:t>Carbon Reduction Projects</w:t>
      </w:r>
    </w:p>
    <w:p w14:paraId="360EBAE2" w14:textId="77777777" w:rsidR="00152C1E" w:rsidRPr="00A51951" w:rsidRDefault="00152C1E" w:rsidP="00152C1E">
      <w:bookmarkStart w:id="28" w:name="_heading=h.3as4poj"/>
      <w:bookmarkEnd w:id="28"/>
      <w:r w:rsidRPr="00A51951">
        <w:t>Completed Carbon Reduction Initiatives</w:t>
      </w:r>
    </w:p>
    <w:p w14:paraId="6E243EEC" w14:textId="5776768A" w:rsidR="00152C1E" w:rsidRPr="00A51951" w:rsidRDefault="00152C1E" w:rsidP="00152C1E">
      <w:r w:rsidRPr="00A51951">
        <w:lastRenderedPageBreak/>
        <w:t>The following environmental management measures and projects have been completed or implemented since the 2</w:t>
      </w:r>
      <w:r w:rsidR="00CB42E1" w:rsidRPr="00A51951">
        <w:t>022</w:t>
      </w:r>
      <w:r w:rsidRPr="00A51951">
        <w:t xml:space="preserve"> baseline. The carbon emission reduction achieved by these schemes equate to </w:t>
      </w:r>
      <w:r w:rsidR="00176BB3" w:rsidRPr="00A51951">
        <w:t xml:space="preserve">44.87 </w:t>
      </w:r>
      <w:r w:rsidRPr="00A51951">
        <w:t xml:space="preserve"> tCO</w:t>
      </w:r>
      <w:r w:rsidRPr="00A51951">
        <w:rPr>
          <w:vertAlign w:val="subscript"/>
        </w:rPr>
        <w:t>2</w:t>
      </w:r>
      <w:r w:rsidRPr="00A51951">
        <w:t xml:space="preserve">e, a </w:t>
      </w:r>
      <w:r w:rsidR="00A51951" w:rsidRPr="00A51951">
        <w:t>net</w:t>
      </w:r>
      <w:r w:rsidR="00176BB3" w:rsidRPr="00A51951">
        <w:t>100</w:t>
      </w:r>
      <w:r w:rsidRPr="00A51951">
        <w:t>%ge reduction against the 20</w:t>
      </w:r>
      <w:r w:rsidR="00CB42E1" w:rsidRPr="00A51951">
        <w:t>22</w:t>
      </w:r>
      <w:r w:rsidRPr="00A51951">
        <w:t xml:space="preserve"> baseline and the measures will be in effect when performing the </w:t>
      </w:r>
      <w:r w:rsidR="00541F35" w:rsidRPr="00A51951">
        <w:t>contract.</w:t>
      </w:r>
    </w:p>
    <w:p w14:paraId="2CB57BB0" w14:textId="77777777" w:rsidR="00E82DB2" w:rsidRDefault="00152C1E" w:rsidP="00152C1E">
      <w:r w:rsidRPr="00A51951">
        <w:t>In the future we hope to implement further measures such as:</w:t>
      </w:r>
      <w:bookmarkStart w:id="29" w:name="_heading=h.1pxezwc"/>
      <w:bookmarkEnd w:id="29"/>
    </w:p>
    <w:p w14:paraId="4956D226" w14:textId="77777777" w:rsidR="00E82DB2" w:rsidRPr="00954133" w:rsidRDefault="00E82DB2" w:rsidP="00E82DB2">
      <w:pPr>
        <w:rPr>
          <w:u w:val="single"/>
        </w:rPr>
      </w:pPr>
      <w:r w:rsidRPr="00954133">
        <w:rPr>
          <w:u w:val="single"/>
        </w:rPr>
        <w:t xml:space="preserve">Electricity – objective to reduce consumption annually by 5%. </w:t>
      </w:r>
    </w:p>
    <w:p w14:paraId="22C8D306" w14:textId="77777777" w:rsidR="00E82DB2" w:rsidRPr="00A51951" w:rsidRDefault="00E82DB2" w:rsidP="00E82DB2">
      <w:r w:rsidRPr="00A51951">
        <w:t>This is to be achieved by</w:t>
      </w:r>
    </w:p>
    <w:p w14:paraId="0D545125" w14:textId="79BE34C6" w:rsidR="00E82DB2" w:rsidRPr="00A51951" w:rsidRDefault="00E82DB2" w:rsidP="00E82DB2">
      <w:r w:rsidRPr="00A51951">
        <w:t xml:space="preserve"> 1.Reducing business open hours</w:t>
      </w:r>
    </w:p>
    <w:p w14:paraId="76B9A240" w14:textId="7519CC44" w:rsidR="00E82DB2" w:rsidRPr="00A51951" w:rsidRDefault="00E82DB2" w:rsidP="00E82DB2">
      <w:r w:rsidRPr="00A51951">
        <w:t xml:space="preserve">2. Turning electric lights off when areas are not in use. </w:t>
      </w:r>
    </w:p>
    <w:p w14:paraId="4A9258BA" w14:textId="3A4655C7" w:rsidR="00E82DB2" w:rsidRPr="00A51951" w:rsidRDefault="00E82DB2" w:rsidP="00E82DB2">
      <w:r w:rsidRPr="00A51951">
        <w:t xml:space="preserve">3. Switching off all </w:t>
      </w:r>
      <w:r w:rsidR="00A51951" w:rsidRPr="00A51951">
        <w:t xml:space="preserve">nonessential </w:t>
      </w:r>
      <w:r w:rsidRPr="00A51951">
        <w:t>electric office equipment when business is closed.</w:t>
      </w:r>
    </w:p>
    <w:p w14:paraId="6B62AB90" w14:textId="1E5D28BA" w:rsidR="00E82DB2" w:rsidRPr="00954133" w:rsidRDefault="00E82DB2" w:rsidP="00E82DB2">
      <w:pPr>
        <w:rPr>
          <w:u w:val="single"/>
        </w:rPr>
      </w:pPr>
      <w:r w:rsidRPr="00954133">
        <w:rPr>
          <w:u w:val="single"/>
        </w:rPr>
        <w:t xml:space="preserve">Gas - objective to reduce consumption annually by 5%. </w:t>
      </w:r>
    </w:p>
    <w:p w14:paraId="435CA4E7" w14:textId="77777777" w:rsidR="00E82DB2" w:rsidRPr="00A51951" w:rsidRDefault="00E82DB2" w:rsidP="00E82DB2">
      <w:r w:rsidRPr="00A51951">
        <w:t>This is to be achieved by</w:t>
      </w:r>
    </w:p>
    <w:p w14:paraId="784CF248" w14:textId="77777777" w:rsidR="00E82DB2" w:rsidRPr="00A51951" w:rsidRDefault="00E82DB2" w:rsidP="00E82DB2">
      <w:r w:rsidRPr="00A51951">
        <w:t>1.Reducing business open hours</w:t>
      </w:r>
    </w:p>
    <w:p w14:paraId="2DFF4AD6" w14:textId="3465504A" w:rsidR="00E82DB2" w:rsidRPr="00A51951" w:rsidRDefault="00E82DB2" w:rsidP="00E82DB2">
      <w:r w:rsidRPr="00A51951">
        <w:t>2. Reducing heating boiler outputs</w:t>
      </w:r>
    </w:p>
    <w:p w14:paraId="7138EC82" w14:textId="77777777" w:rsidR="00E82DB2" w:rsidRPr="00954133" w:rsidRDefault="00E82DB2" w:rsidP="00E82DB2">
      <w:pPr>
        <w:rPr>
          <w:u w:val="single"/>
        </w:rPr>
      </w:pPr>
      <w:r w:rsidRPr="00954133">
        <w:rPr>
          <w:u w:val="single"/>
        </w:rPr>
        <w:t>Company vehicle use.</w:t>
      </w:r>
    </w:p>
    <w:p w14:paraId="2FD61F74" w14:textId="77777777" w:rsidR="00E82DB2" w:rsidRPr="00A51951" w:rsidRDefault="00E82DB2" w:rsidP="00E82DB2">
      <w:r w:rsidRPr="00A51951">
        <w:t>This is to be achieved by minimising one-way journeys of product movements.</w:t>
      </w:r>
    </w:p>
    <w:p w14:paraId="69D76EB8" w14:textId="1285EBBE" w:rsidR="00A51951" w:rsidRPr="00A51951" w:rsidRDefault="00A51951" w:rsidP="00E82DB2">
      <w:r w:rsidRPr="00A51951">
        <w:t>Using carbon neutral freight services.</w:t>
      </w:r>
    </w:p>
    <w:p w14:paraId="44817218" w14:textId="77777777" w:rsidR="00E82DB2" w:rsidRPr="00954133" w:rsidRDefault="00E82DB2" w:rsidP="00E82DB2">
      <w:pPr>
        <w:rPr>
          <w:u w:val="single"/>
        </w:rPr>
      </w:pPr>
      <w:r w:rsidRPr="00954133">
        <w:rPr>
          <w:u w:val="single"/>
        </w:rPr>
        <w:t>Company travel.</w:t>
      </w:r>
    </w:p>
    <w:p w14:paraId="3502CB1A" w14:textId="77777777" w:rsidR="00E82DB2" w:rsidRPr="00A51951" w:rsidRDefault="00E82DB2" w:rsidP="00E82DB2">
      <w:r w:rsidRPr="00A51951">
        <w:t xml:space="preserve">This is to be achieved by </w:t>
      </w:r>
    </w:p>
    <w:p w14:paraId="473669C1" w14:textId="77777777" w:rsidR="00E82DB2" w:rsidRPr="00A51951" w:rsidRDefault="00E82DB2" w:rsidP="00E82DB2">
      <w:r w:rsidRPr="00A51951">
        <w:t>Flights – Buying carbon-off set flights.</w:t>
      </w:r>
    </w:p>
    <w:p w14:paraId="0D83EBA1" w14:textId="77777777" w:rsidR="00E82DB2" w:rsidRPr="00A51951" w:rsidRDefault="00E82DB2" w:rsidP="00E82DB2">
      <w:r w:rsidRPr="00A51951">
        <w:t>UK travel where practical using public transport.</w:t>
      </w:r>
    </w:p>
    <w:p w14:paraId="4763E378" w14:textId="77777777" w:rsidR="00E82DB2" w:rsidRPr="00A51951" w:rsidRDefault="00E82DB2" w:rsidP="00E82DB2">
      <w:r w:rsidRPr="00A51951">
        <w:t>In the future we hope to implement further measures such as:</w:t>
      </w:r>
    </w:p>
    <w:p w14:paraId="5E1A4430" w14:textId="77777777" w:rsidR="00E82DB2" w:rsidRPr="00A51951" w:rsidRDefault="00E82DB2" w:rsidP="00E82DB2">
      <w:r w:rsidRPr="00A51951">
        <w:t>Replace company vehicles with electric, rechargeable vehicles.</w:t>
      </w:r>
    </w:p>
    <w:p w14:paraId="30B6DE39" w14:textId="77777777" w:rsidR="00E82DB2" w:rsidRPr="00A51951" w:rsidRDefault="00E82DB2" w:rsidP="00E82DB2">
      <w:r w:rsidRPr="00A51951">
        <w:t>Source electricity from renewable sources.</w:t>
      </w:r>
    </w:p>
    <w:p w14:paraId="7278030D" w14:textId="3253276B" w:rsidR="00E82DB2" w:rsidRDefault="00E82DB2" w:rsidP="00E82DB2">
      <w:r w:rsidRPr="00A51951">
        <w:t>Implement 1 day ‘Working at Home’ for office staff.</w:t>
      </w:r>
    </w:p>
    <w:p w14:paraId="5C426BC1" w14:textId="77777777" w:rsidR="00152C1E" w:rsidRPr="00152C1E" w:rsidRDefault="00152C1E" w:rsidP="00152C1E">
      <w:bookmarkStart w:id="30" w:name="_heading=h.49x2ik5"/>
      <w:bookmarkEnd w:id="30"/>
      <w:r w:rsidRPr="00152C1E">
        <w:rPr>
          <w:b/>
        </w:rPr>
        <w:t>Declaration and Sign Off</w:t>
      </w:r>
    </w:p>
    <w:p w14:paraId="7B2CABC4" w14:textId="77777777" w:rsidR="00152C1E" w:rsidRPr="00152C1E" w:rsidRDefault="00152C1E" w:rsidP="00152C1E">
      <w:r w:rsidRPr="00152C1E">
        <w:t>This Carbon Reduction Plan has been completed in accordance with PPN 06/21 and associated guidance and reporting standard for Carbon Reduction Plans.</w:t>
      </w:r>
    </w:p>
    <w:p w14:paraId="7BC68A8A" w14:textId="77777777" w:rsidR="00152C1E" w:rsidRPr="00152C1E" w:rsidRDefault="00152C1E" w:rsidP="00152C1E">
      <w:r w:rsidRPr="00152C1E">
        <w:lastRenderedPageBreak/>
        <w:t>Emissions have been reported and recorded in accordance with the published reporting standard for Carbon Reduction Plans and the GHG Reporting Protocol corporate standard</w:t>
      </w:r>
      <w:r w:rsidRPr="00152C1E">
        <w:rPr>
          <w:vertAlign w:val="superscript"/>
        </w:rPr>
        <w:footnoteReference w:id="1"/>
      </w:r>
      <w:r w:rsidRPr="00152C1E">
        <w:t xml:space="preserve"> and uses the appropriate </w:t>
      </w:r>
      <w:hyperlink r:id="rId7" w:history="1">
        <w:r w:rsidRPr="00152C1E">
          <w:rPr>
            <w:rStyle w:val="Hyperlink"/>
          </w:rPr>
          <w:t>Government emission conversion factors for greenhouse gas company reporting</w:t>
        </w:r>
      </w:hyperlink>
      <w:r w:rsidRPr="00152C1E">
        <w:rPr>
          <w:vertAlign w:val="superscript"/>
        </w:rPr>
        <w:footnoteReference w:id="2"/>
      </w:r>
      <w:r w:rsidRPr="00152C1E">
        <w:t>.</w:t>
      </w:r>
    </w:p>
    <w:p w14:paraId="0ABDD895" w14:textId="77777777" w:rsidR="00152C1E" w:rsidRPr="00152C1E" w:rsidRDefault="00152C1E" w:rsidP="00152C1E">
      <w:r w:rsidRPr="00152C1E">
        <w:t>Scope 1 and Scope 2 emissions have been reported in accordance with SECR requirements, and the required subset of Scope 3 emissions have been reported in accordance with the published reporting standard for Carbon Reduction Plans and the Corporate Value Chain (Scope 3) Standard</w:t>
      </w:r>
      <w:r w:rsidRPr="00152C1E">
        <w:rPr>
          <w:vertAlign w:val="superscript"/>
        </w:rPr>
        <w:footnoteReference w:id="3"/>
      </w:r>
      <w:r w:rsidRPr="00152C1E">
        <w:t>.</w:t>
      </w:r>
    </w:p>
    <w:p w14:paraId="302A76C4" w14:textId="77777777" w:rsidR="00152C1E" w:rsidRPr="00152C1E" w:rsidRDefault="00152C1E" w:rsidP="00152C1E">
      <w:r w:rsidRPr="00152C1E">
        <w:t>This Carbon Reduction Plan has been reviewed and signed off by the board of directors (or equivalent management body).</w:t>
      </w:r>
    </w:p>
    <w:p w14:paraId="681AFE3D" w14:textId="77777777" w:rsidR="00152C1E" w:rsidRPr="00152C1E" w:rsidRDefault="00152C1E" w:rsidP="00152C1E">
      <w:pPr>
        <w:rPr>
          <w:b/>
        </w:rPr>
      </w:pPr>
      <w:r w:rsidRPr="00152C1E">
        <w:rPr>
          <w:b/>
        </w:rPr>
        <w:t>Signed on behalf of the Supplier:</w:t>
      </w:r>
      <w:bookmarkEnd w:id="0"/>
      <w:bookmarkEnd w:id="1"/>
    </w:p>
    <w:p w14:paraId="4DA1CFB1" w14:textId="6061737C" w:rsidR="00CB42E1" w:rsidRDefault="00CB42E1" w:rsidP="00152C1E">
      <w:r>
        <w:t>Darby Booth, Managing Director</w:t>
      </w:r>
    </w:p>
    <w:p w14:paraId="10939AE0" w14:textId="77777777" w:rsidR="00CB42E1" w:rsidRDefault="00CB42E1" w:rsidP="00152C1E"/>
    <w:p w14:paraId="015ACF2A" w14:textId="497C5426" w:rsidR="00354FB4" w:rsidRDefault="00152C1E">
      <w:r w:rsidRPr="00152C1E">
        <w:t>Date</w:t>
      </w:r>
      <w:r w:rsidR="00CB42E1">
        <w:t>1September 2023</w:t>
      </w:r>
    </w:p>
    <w:p w14:paraId="060463BB" w14:textId="4D8C8D6A" w:rsidR="00FC584C" w:rsidRDefault="00FC584C">
      <w:r>
        <w:t>Revision 30 January 2025</w:t>
      </w:r>
    </w:p>
    <w:sectPr w:rsidR="00FC5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2B16" w14:textId="77777777" w:rsidR="00C31900" w:rsidRDefault="00C31900" w:rsidP="00152C1E">
      <w:pPr>
        <w:spacing w:after="0" w:line="240" w:lineRule="auto"/>
      </w:pPr>
      <w:r>
        <w:separator/>
      </w:r>
    </w:p>
  </w:endnote>
  <w:endnote w:type="continuationSeparator" w:id="0">
    <w:p w14:paraId="58F51A70" w14:textId="77777777" w:rsidR="00C31900" w:rsidRDefault="00C31900" w:rsidP="001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ñan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0AF9" w14:textId="77777777" w:rsidR="00497E43" w:rsidRDefault="0049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25CE8" w14:textId="77777777" w:rsidR="00497E43" w:rsidRDefault="00497E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D2D6B" w14:textId="77777777" w:rsidR="00497E43" w:rsidRDefault="00497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9220A" w14:textId="77777777" w:rsidR="00C31900" w:rsidRDefault="00C31900" w:rsidP="00152C1E">
      <w:pPr>
        <w:spacing w:after="0" w:line="240" w:lineRule="auto"/>
      </w:pPr>
      <w:r>
        <w:separator/>
      </w:r>
    </w:p>
  </w:footnote>
  <w:footnote w:type="continuationSeparator" w:id="0">
    <w:p w14:paraId="14AD6252" w14:textId="77777777" w:rsidR="00C31900" w:rsidRDefault="00C31900" w:rsidP="00152C1E">
      <w:pPr>
        <w:spacing w:after="0" w:line="240" w:lineRule="auto"/>
      </w:pPr>
      <w:r>
        <w:continuationSeparator/>
      </w:r>
    </w:p>
  </w:footnote>
  <w:footnote w:id="1">
    <w:p w14:paraId="78AC6599" w14:textId="77777777" w:rsidR="00152C1E" w:rsidRDefault="00152C1E" w:rsidP="00152C1E">
      <w:pPr>
        <w:spacing w:line="240" w:lineRule="auto"/>
      </w:pPr>
      <w:r>
        <w:rPr>
          <w:rStyle w:val="FootnoteReference"/>
        </w:rPr>
        <w:footnoteRef/>
      </w:r>
      <w:hyperlink r:id="rId1" w:history="1">
        <w:r>
          <w:rPr>
            <w:color w:val="0000FF"/>
            <w:sz w:val="20"/>
            <w:szCs w:val="20"/>
            <w:u w:val="single"/>
          </w:rPr>
          <w:t>https://ghgprotocol.org/corporate-standard</w:t>
        </w:r>
      </w:hyperlink>
    </w:p>
  </w:footnote>
  <w:footnote w:id="2">
    <w:p w14:paraId="08C28F81" w14:textId="77777777" w:rsidR="00152C1E" w:rsidRDefault="00152C1E" w:rsidP="00152C1E">
      <w:pPr>
        <w:spacing w:line="240" w:lineRule="auto"/>
      </w:pPr>
      <w:r>
        <w:rPr>
          <w:rStyle w:val="FootnoteReference"/>
        </w:rPr>
        <w:footnoteRef/>
      </w:r>
      <w:hyperlink r:id="rId2" w:history="1">
        <w:r>
          <w:rPr>
            <w:color w:val="0000FF"/>
            <w:sz w:val="20"/>
            <w:szCs w:val="20"/>
            <w:u w:val="single"/>
          </w:rPr>
          <w:t>https://www.gov.uk/government/collections/government-conversion-factors-for-company-reporting</w:t>
        </w:r>
      </w:hyperlink>
    </w:p>
  </w:footnote>
  <w:footnote w:id="3">
    <w:p w14:paraId="2B07F126" w14:textId="77777777" w:rsidR="00152C1E" w:rsidRDefault="00152C1E" w:rsidP="00152C1E">
      <w:pPr>
        <w:spacing w:line="240" w:lineRule="auto"/>
      </w:pPr>
      <w:r>
        <w:rPr>
          <w:rStyle w:val="FootnoteReference"/>
        </w:rPr>
        <w:footnoteRef/>
      </w:r>
      <w:hyperlink r:id="rId3" w:history="1">
        <w:r>
          <w:rPr>
            <w:color w:val="0000FF"/>
            <w:sz w:val="20"/>
            <w:szCs w:val="20"/>
            <w:u w:val="single"/>
          </w:rPr>
          <w:t>https://ghgprotocol.org/standards/scope-3-standard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F5CA" w14:textId="77777777" w:rsidR="00497E43" w:rsidRDefault="00497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ED0D" w14:textId="22B004F0" w:rsidR="00497E43" w:rsidRDefault="00497E43" w:rsidP="00497E43">
    <w:pPr>
      <w:pStyle w:val="Header"/>
      <w:jc w:val="center"/>
    </w:pPr>
    <w:r>
      <w:rPr>
        <w:noProof/>
      </w:rPr>
      <w:drawing>
        <wp:inline distT="0" distB="0" distL="0" distR="0" wp14:anchorId="55BA1D77" wp14:editId="010B3951">
          <wp:extent cx="2047875" cy="637673"/>
          <wp:effectExtent l="0" t="0" r="0" b="0"/>
          <wp:docPr id="162822412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241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7407" cy="64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0275D" w14:textId="77777777" w:rsidR="00497E43" w:rsidRDefault="00497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E"/>
    <w:rsid w:val="000C585B"/>
    <w:rsid w:val="00152C1E"/>
    <w:rsid w:val="00176BB3"/>
    <w:rsid w:val="0019684E"/>
    <w:rsid w:val="00254989"/>
    <w:rsid w:val="00354FB4"/>
    <w:rsid w:val="00363D8D"/>
    <w:rsid w:val="003E0A72"/>
    <w:rsid w:val="00497E43"/>
    <w:rsid w:val="00541F35"/>
    <w:rsid w:val="005524E6"/>
    <w:rsid w:val="005C7C99"/>
    <w:rsid w:val="00693323"/>
    <w:rsid w:val="00713C73"/>
    <w:rsid w:val="007C5C3A"/>
    <w:rsid w:val="008E11FA"/>
    <w:rsid w:val="00945C82"/>
    <w:rsid w:val="00954133"/>
    <w:rsid w:val="00A51951"/>
    <w:rsid w:val="00AF674E"/>
    <w:rsid w:val="00B40DE7"/>
    <w:rsid w:val="00B62361"/>
    <w:rsid w:val="00B6522D"/>
    <w:rsid w:val="00BA418E"/>
    <w:rsid w:val="00C31900"/>
    <w:rsid w:val="00CB42E1"/>
    <w:rsid w:val="00DC7828"/>
    <w:rsid w:val="00E14721"/>
    <w:rsid w:val="00E82DB2"/>
    <w:rsid w:val="00EC2DEB"/>
    <w:rsid w:val="00ED7332"/>
    <w:rsid w:val="00F31273"/>
    <w:rsid w:val="00FC584C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6C4B5"/>
  <w15:chartTrackingRefBased/>
  <w15:docId w15:val="{9A501E54-ABF7-40D6-BF1F-5C8EF962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ñana" w:eastAsiaTheme="minorHAnsi" w:hAnsi="Mañana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152C1E"/>
    <w:rPr>
      <w:position w:val="0"/>
      <w:vertAlign w:val="superscript"/>
    </w:rPr>
  </w:style>
  <w:style w:type="character" w:styleId="Hyperlink">
    <w:name w:val="Hyperlink"/>
    <w:basedOn w:val="DefaultParagraphFont"/>
    <w:uiPriority w:val="99"/>
    <w:unhideWhenUsed/>
    <w:rsid w:val="00152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C1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133"/>
  </w:style>
  <w:style w:type="paragraph" w:styleId="Footer">
    <w:name w:val="footer"/>
    <w:basedOn w:val="Normal"/>
    <w:link w:val="FooterChar"/>
    <w:uiPriority w:val="99"/>
    <w:unhideWhenUsed/>
    <w:rsid w:val="00954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v.uk/government/collections/government-conversion-factors-for-company-reportin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ghgprotocol.org/standards/scope-3-standard" TargetMode="External"/><Relationship Id="rId2" Type="http://schemas.openxmlformats.org/officeDocument/2006/relationships/hyperlink" Target="https://www.gov.uk/government/collections/government-conversion-factors-for-company-reporting" TargetMode="External"/><Relationship Id="rId1" Type="http://schemas.openxmlformats.org/officeDocument/2006/relationships/hyperlink" Target="https://ghgprotocol.org/corporate-standar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Projected</a:t>
            </a:r>
            <a:r>
              <a:rPr lang="en-GB" baseline="0"/>
              <a:t> Carbon Reduction Warwick SASCo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GB"/>
        </a:p>
      </c:txPr>
    </c:title>
    <c:autoTitleDeleted val="0"/>
    <c:plotArea>
      <c:layout>
        <c:manualLayout>
          <c:layoutTarget val="inner"/>
          <c:xMode val="edge"/>
          <c:yMode val="edge"/>
          <c:x val="9.4809451893183919E-2"/>
          <c:y val="9.5984707113922901E-2"/>
          <c:w val="0.86850961197417886"/>
          <c:h val="0.757872751455201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'Table Data'!$C$3</c:f>
              <c:strCache>
                <c:ptCount val="1"/>
                <c:pt idx="0">
                  <c:v>Emissions
Scope 1
tCO2e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'Table Data'!$A$4:$B$31</c:f>
              <c:multiLvlStrCache>
                <c:ptCount val="28"/>
                <c:lvl>
                  <c:pt idx="0">
                    <c:v>BASE YEAR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2025</c:v>
                  </c:pt>
                  <c:pt idx="4">
                    <c:v>2026</c:v>
                  </c:pt>
                  <c:pt idx="5">
                    <c:v>2027</c:v>
                  </c:pt>
                  <c:pt idx="6">
                    <c:v>2028</c:v>
                  </c:pt>
                  <c:pt idx="7">
                    <c:v>2029</c:v>
                  </c:pt>
                  <c:pt idx="8">
                    <c:v>2030</c:v>
                  </c:pt>
                  <c:pt idx="9">
                    <c:v>2031</c:v>
                  </c:pt>
                  <c:pt idx="10">
                    <c:v>2032</c:v>
                  </c:pt>
                  <c:pt idx="11">
                    <c:v>2033</c:v>
                  </c:pt>
                  <c:pt idx="12">
                    <c:v>2034</c:v>
                  </c:pt>
                  <c:pt idx="13">
                    <c:v>2035</c:v>
                  </c:pt>
                  <c:pt idx="14">
                    <c:v>2036</c:v>
                  </c:pt>
                  <c:pt idx="15">
                    <c:v>2037</c:v>
                  </c:pt>
                  <c:pt idx="16">
                    <c:v>2038</c:v>
                  </c:pt>
                  <c:pt idx="17">
                    <c:v>2039</c:v>
                  </c:pt>
                  <c:pt idx="18">
                    <c:v>2040</c:v>
                  </c:pt>
                  <c:pt idx="19">
                    <c:v>2041</c:v>
                  </c:pt>
                  <c:pt idx="20">
                    <c:v>2042</c:v>
                  </c:pt>
                  <c:pt idx="21">
                    <c:v>2043</c:v>
                  </c:pt>
                  <c:pt idx="22">
                    <c:v>2044</c:v>
                  </c:pt>
                  <c:pt idx="23">
                    <c:v>2045</c:v>
                  </c:pt>
                  <c:pt idx="24">
                    <c:v>2046</c:v>
                  </c:pt>
                  <c:pt idx="25">
                    <c:v>2047</c:v>
                  </c:pt>
                  <c:pt idx="26">
                    <c:v>2048</c:v>
                  </c:pt>
                  <c:pt idx="27">
                    <c:v>2050</c:v>
                  </c:pt>
                </c:lvl>
              </c:multiLvlStrCache>
            </c:multiLvlStrRef>
          </c:cat>
          <c:val>
            <c:numRef>
              <c:f>'Table Data'!$C$4:$C$31</c:f>
              <c:numCache>
                <c:formatCode>0.00</c:formatCode>
                <c:ptCount val="28"/>
                <c:pt idx="0">
                  <c:v>22</c:v>
                </c:pt>
                <c:pt idx="1">
                  <c:v>21.19</c:v>
                </c:pt>
                <c:pt idx="2">
                  <c:v>20.38</c:v>
                </c:pt>
                <c:pt idx="3">
                  <c:v>19.57</c:v>
                </c:pt>
                <c:pt idx="4">
                  <c:v>18.760000000000002</c:v>
                </c:pt>
                <c:pt idx="5">
                  <c:v>17.950000000000003</c:v>
                </c:pt>
                <c:pt idx="6">
                  <c:v>17.140000000000004</c:v>
                </c:pt>
                <c:pt idx="7">
                  <c:v>16.330000000000005</c:v>
                </c:pt>
                <c:pt idx="8">
                  <c:v>15.520000000000005</c:v>
                </c:pt>
                <c:pt idx="9">
                  <c:v>14.710000000000004</c:v>
                </c:pt>
                <c:pt idx="10">
                  <c:v>13.900000000000004</c:v>
                </c:pt>
                <c:pt idx="11">
                  <c:v>13.090000000000003</c:v>
                </c:pt>
                <c:pt idx="12">
                  <c:v>12.280000000000003</c:v>
                </c:pt>
                <c:pt idx="13">
                  <c:v>11.470000000000002</c:v>
                </c:pt>
                <c:pt idx="14">
                  <c:v>10.660000000000002</c:v>
                </c:pt>
                <c:pt idx="15">
                  <c:v>9.8500000000000014</c:v>
                </c:pt>
                <c:pt idx="16">
                  <c:v>9.0400000000000009</c:v>
                </c:pt>
                <c:pt idx="17">
                  <c:v>8.23</c:v>
                </c:pt>
                <c:pt idx="18">
                  <c:v>7.42</c:v>
                </c:pt>
                <c:pt idx="19">
                  <c:v>6.6099999999999994</c:v>
                </c:pt>
                <c:pt idx="20">
                  <c:v>5.7999999999999989</c:v>
                </c:pt>
                <c:pt idx="21">
                  <c:v>4.9899999999999984</c:v>
                </c:pt>
                <c:pt idx="22">
                  <c:v>4.1799999999999979</c:v>
                </c:pt>
                <c:pt idx="23">
                  <c:v>3.3699999999999979</c:v>
                </c:pt>
                <c:pt idx="24">
                  <c:v>2.5599999999999978</c:v>
                </c:pt>
                <c:pt idx="25">
                  <c:v>1.7499999999999978</c:v>
                </c:pt>
                <c:pt idx="26">
                  <c:v>0.93999999999999773</c:v>
                </c:pt>
                <c:pt idx="27">
                  <c:v>0.12999999999999767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93-474E-8137-25B50BE88713}"/>
            </c:ext>
          </c:extLst>
        </c:ser>
        <c:ser>
          <c:idx val="1"/>
          <c:order val="1"/>
          <c:tx>
            <c:strRef>
              <c:f>'Table Data'!$D$3</c:f>
              <c:strCache>
                <c:ptCount val="1"/>
                <c:pt idx="0">
                  <c:v>Emissions
Scope 2
tCO2e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multiLvlStrRef>
              <c:f>'Table Data'!$A$4:$B$31</c:f>
              <c:multiLvlStrCache>
                <c:ptCount val="28"/>
                <c:lvl>
                  <c:pt idx="0">
                    <c:v>BASE YEAR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2025</c:v>
                  </c:pt>
                  <c:pt idx="4">
                    <c:v>2026</c:v>
                  </c:pt>
                  <c:pt idx="5">
                    <c:v>2027</c:v>
                  </c:pt>
                  <c:pt idx="6">
                    <c:v>2028</c:v>
                  </c:pt>
                  <c:pt idx="7">
                    <c:v>2029</c:v>
                  </c:pt>
                  <c:pt idx="8">
                    <c:v>2030</c:v>
                  </c:pt>
                  <c:pt idx="9">
                    <c:v>2031</c:v>
                  </c:pt>
                  <c:pt idx="10">
                    <c:v>2032</c:v>
                  </c:pt>
                  <c:pt idx="11">
                    <c:v>2033</c:v>
                  </c:pt>
                  <c:pt idx="12">
                    <c:v>2034</c:v>
                  </c:pt>
                  <c:pt idx="13">
                    <c:v>2035</c:v>
                  </c:pt>
                  <c:pt idx="14">
                    <c:v>2036</c:v>
                  </c:pt>
                  <c:pt idx="15">
                    <c:v>2037</c:v>
                  </c:pt>
                  <c:pt idx="16">
                    <c:v>2038</c:v>
                  </c:pt>
                  <c:pt idx="17">
                    <c:v>2039</c:v>
                  </c:pt>
                  <c:pt idx="18">
                    <c:v>2040</c:v>
                  </c:pt>
                  <c:pt idx="19">
                    <c:v>2041</c:v>
                  </c:pt>
                  <c:pt idx="20">
                    <c:v>2042</c:v>
                  </c:pt>
                  <c:pt idx="21">
                    <c:v>2043</c:v>
                  </c:pt>
                  <c:pt idx="22">
                    <c:v>2044</c:v>
                  </c:pt>
                  <c:pt idx="23">
                    <c:v>2045</c:v>
                  </c:pt>
                  <c:pt idx="24">
                    <c:v>2046</c:v>
                  </c:pt>
                  <c:pt idx="25">
                    <c:v>2047</c:v>
                  </c:pt>
                  <c:pt idx="26">
                    <c:v>2048</c:v>
                  </c:pt>
                  <c:pt idx="27">
                    <c:v>2050</c:v>
                  </c:pt>
                </c:lvl>
              </c:multiLvlStrCache>
            </c:multiLvlStrRef>
          </c:cat>
          <c:val>
            <c:numRef>
              <c:f>'Table Data'!$D$4:$D$31</c:f>
              <c:numCache>
                <c:formatCode>0.00</c:formatCode>
                <c:ptCount val="28"/>
                <c:pt idx="0">
                  <c:v>3</c:v>
                </c:pt>
                <c:pt idx="1">
                  <c:v>2.89</c:v>
                </c:pt>
                <c:pt idx="2">
                  <c:v>2.78</c:v>
                </c:pt>
                <c:pt idx="3">
                  <c:v>2.67</c:v>
                </c:pt>
                <c:pt idx="4">
                  <c:v>2.56</c:v>
                </c:pt>
                <c:pt idx="5">
                  <c:v>2.4500000000000002</c:v>
                </c:pt>
                <c:pt idx="6">
                  <c:v>2.34</c:v>
                </c:pt>
                <c:pt idx="7">
                  <c:v>2.23</c:v>
                </c:pt>
                <c:pt idx="8">
                  <c:v>2.12</c:v>
                </c:pt>
                <c:pt idx="9">
                  <c:v>2.0099999999999998</c:v>
                </c:pt>
                <c:pt idx="10">
                  <c:v>1.9</c:v>
                </c:pt>
                <c:pt idx="11">
                  <c:v>1.79</c:v>
                </c:pt>
                <c:pt idx="12">
                  <c:v>1.68</c:v>
                </c:pt>
                <c:pt idx="13">
                  <c:v>1.57</c:v>
                </c:pt>
                <c:pt idx="14">
                  <c:v>1.46</c:v>
                </c:pt>
                <c:pt idx="15">
                  <c:v>1.35</c:v>
                </c:pt>
                <c:pt idx="16">
                  <c:v>1.24</c:v>
                </c:pt>
                <c:pt idx="17">
                  <c:v>1.1299999999999999</c:v>
                </c:pt>
                <c:pt idx="18">
                  <c:v>1.02</c:v>
                </c:pt>
                <c:pt idx="19">
                  <c:v>0.91</c:v>
                </c:pt>
                <c:pt idx="20">
                  <c:v>0.8</c:v>
                </c:pt>
                <c:pt idx="21">
                  <c:v>0.69</c:v>
                </c:pt>
                <c:pt idx="22">
                  <c:v>0.57999999999999996</c:v>
                </c:pt>
                <c:pt idx="23">
                  <c:v>0.47</c:v>
                </c:pt>
                <c:pt idx="24">
                  <c:v>0.36</c:v>
                </c:pt>
                <c:pt idx="25">
                  <c:v>0.25</c:v>
                </c:pt>
                <c:pt idx="26">
                  <c:v>0.14000000000000001</c:v>
                </c:pt>
                <c:pt idx="27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93-474E-8137-25B50BE88713}"/>
            </c:ext>
          </c:extLst>
        </c:ser>
        <c:ser>
          <c:idx val="2"/>
          <c:order val="2"/>
          <c:tx>
            <c:strRef>
              <c:f>'Table Data'!$E$3</c:f>
              <c:strCache>
                <c:ptCount val="1"/>
                <c:pt idx="0">
                  <c:v>Emissions
Total 
tCO2e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multiLvlStrRef>
              <c:f>'Table Data'!$A$4:$B$31</c:f>
              <c:multiLvlStrCache>
                <c:ptCount val="28"/>
                <c:lvl>
                  <c:pt idx="0">
                    <c:v>BASE YEAR</c:v>
                  </c:pt>
                </c:lvl>
                <c:lvl>
                  <c:pt idx="0">
                    <c:v>2022</c:v>
                  </c:pt>
                  <c:pt idx="1">
                    <c:v>2023</c:v>
                  </c:pt>
                  <c:pt idx="2">
                    <c:v>2024</c:v>
                  </c:pt>
                  <c:pt idx="3">
                    <c:v>2025</c:v>
                  </c:pt>
                  <c:pt idx="4">
                    <c:v>2026</c:v>
                  </c:pt>
                  <c:pt idx="5">
                    <c:v>2027</c:v>
                  </c:pt>
                  <c:pt idx="6">
                    <c:v>2028</c:v>
                  </c:pt>
                  <c:pt idx="7">
                    <c:v>2029</c:v>
                  </c:pt>
                  <c:pt idx="8">
                    <c:v>2030</c:v>
                  </c:pt>
                  <c:pt idx="9">
                    <c:v>2031</c:v>
                  </c:pt>
                  <c:pt idx="10">
                    <c:v>2032</c:v>
                  </c:pt>
                  <c:pt idx="11">
                    <c:v>2033</c:v>
                  </c:pt>
                  <c:pt idx="12">
                    <c:v>2034</c:v>
                  </c:pt>
                  <c:pt idx="13">
                    <c:v>2035</c:v>
                  </c:pt>
                  <c:pt idx="14">
                    <c:v>2036</c:v>
                  </c:pt>
                  <c:pt idx="15">
                    <c:v>2037</c:v>
                  </c:pt>
                  <c:pt idx="16">
                    <c:v>2038</c:v>
                  </c:pt>
                  <c:pt idx="17">
                    <c:v>2039</c:v>
                  </c:pt>
                  <c:pt idx="18">
                    <c:v>2040</c:v>
                  </c:pt>
                  <c:pt idx="19">
                    <c:v>2041</c:v>
                  </c:pt>
                  <c:pt idx="20">
                    <c:v>2042</c:v>
                  </c:pt>
                  <c:pt idx="21">
                    <c:v>2043</c:v>
                  </c:pt>
                  <c:pt idx="22">
                    <c:v>2044</c:v>
                  </c:pt>
                  <c:pt idx="23">
                    <c:v>2045</c:v>
                  </c:pt>
                  <c:pt idx="24">
                    <c:v>2046</c:v>
                  </c:pt>
                  <c:pt idx="25">
                    <c:v>2047</c:v>
                  </c:pt>
                  <c:pt idx="26">
                    <c:v>2048</c:v>
                  </c:pt>
                  <c:pt idx="27">
                    <c:v>2050</c:v>
                  </c:pt>
                </c:lvl>
              </c:multiLvlStrCache>
            </c:multiLvlStrRef>
          </c:cat>
          <c:val>
            <c:numRef>
              <c:f>'Table Data'!$E$4:$E$31</c:f>
              <c:numCache>
                <c:formatCode>0.00</c:formatCode>
                <c:ptCount val="28"/>
                <c:pt idx="0">
                  <c:v>25</c:v>
                </c:pt>
                <c:pt idx="1">
                  <c:v>24.080000000000002</c:v>
                </c:pt>
                <c:pt idx="2">
                  <c:v>23.16</c:v>
                </c:pt>
                <c:pt idx="3">
                  <c:v>22.240000000000002</c:v>
                </c:pt>
                <c:pt idx="4">
                  <c:v>21.32</c:v>
                </c:pt>
                <c:pt idx="5">
                  <c:v>20.400000000000002</c:v>
                </c:pt>
                <c:pt idx="6">
                  <c:v>19.480000000000004</c:v>
                </c:pt>
                <c:pt idx="7">
                  <c:v>18.560000000000006</c:v>
                </c:pt>
                <c:pt idx="8">
                  <c:v>17.640000000000004</c:v>
                </c:pt>
                <c:pt idx="9">
                  <c:v>16.720000000000006</c:v>
                </c:pt>
                <c:pt idx="10">
                  <c:v>15.800000000000004</c:v>
                </c:pt>
                <c:pt idx="11">
                  <c:v>14.880000000000003</c:v>
                </c:pt>
                <c:pt idx="12">
                  <c:v>13.960000000000003</c:v>
                </c:pt>
                <c:pt idx="13">
                  <c:v>13.040000000000003</c:v>
                </c:pt>
                <c:pt idx="14">
                  <c:v>12.120000000000001</c:v>
                </c:pt>
                <c:pt idx="15">
                  <c:v>11.200000000000001</c:v>
                </c:pt>
                <c:pt idx="16">
                  <c:v>10.280000000000001</c:v>
                </c:pt>
                <c:pt idx="17">
                  <c:v>9.36</c:v>
                </c:pt>
                <c:pt idx="18">
                  <c:v>8.44</c:v>
                </c:pt>
                <c:pt idx="19">
                  <c:v>7.52</c:v>
                </c:pt>
                <c:pt idx="20">
                  <c:v>6.5999999999999988</c:v>
                </c:pt>
                <c:pt idx="21">
                  <c:v>5.6799999999999979</c:v>
                </c:pt>
                <c:pt idx="22">
                  <c:v>4.759999999999998</c:v>
                </c:pt>
                <c:pt idx="23">
                  <c:v>3.8399999999999981</c:v>
                </c:pt>
                <c:pt idx="24">
                  <c:v>2.9199999999999977</c:v>
                </c:pt>
                <c:pt idx="25">
                  <c:v>1.9999999999999978</c:v>
                </c:pt>
                <c:pt idx="26">
                  <c:v>1.0799999999999979</c:v>
                </c:pt>
                <c:pt idx="27">
                  <c:v>0.15999999999999767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93-474E-8137-25B50BE887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3532400"/>
        <c:axId val="613539240"/>
      </c:barChart>
      <c:catAx>
        <c:axId val="61353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539240"/>
        <c:crosses val="autoZero"/>
        <c:auto val="1"/>
        <c:lblAlgn val="ctr"/>
        <c:lblOffset val="100"/>
        <c:noMultiLvlLbl val="0"/>
      </c:catAx>
      <c:valAx>
        <c:axId val="613539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353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8229536754244736"/>
          <c:y val="0.80325682203340987"/>
          <c:w val="0.23540915209069277"/>
          <c:h val="0.182101889533208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Darby Booth</dc:creator>
  <cp:keywords/>
  <dc:description/>
  <cp:lastModifiedBy>Janine Farmer</cp:lastModifiedBy>
  <cp:revision>2</cp:revision>
  <dcterms:created xsi:type="dcterms:W3CDTF">2025-03-12T14:00:00Z</dcterms:created>
  <dcterms:modified xsi:type="dcterms:W3CDTF">2025-03-12T14:00:00Z</dcterms:modified>
</cp:coreProperties>
</file>